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43B0">
      <w:p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bookmarkStart w:id="0" w:name="_GoBack"/>
      <w:bookmarkEnd w:id="0"/>
    </w:p>
    <w:p w14:paraId="22DEE89C">
      <w:pPr>
        <w:spacing w:before="156" w:beforeLines="50"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四川省通信学会团体标准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制</w:t>
      </w:r>
      <w:r>
        <w:rPr>
          <w:rFonts w:hint="eastAsia" w:ascii="黑体" w:hAnsi="黑体" w:eastAsia="黑体"/>
          <w:sz w:val="36"/>
          <w:szCs w:val="36"/>
        </w:rPr>
        <w:t>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立项申请</w:t>
      </w:r>
      <w:r>
        <w:rPr>
          <w:rFonts w:hint="eastAsia" w:ascii="黑体" w:hAnsi="黑体" w:eastAsia="黑体"/>
          <w:sz w:val="36"/>
          <w:szCs w:val="36"/>
        </w:rPr>
        <w:t>书</w:t>
      </w:r>
    </w:p>
    <w:tbl>
      <w:tblPr>
        <w:tblStyle w:val="8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651"/>
        <w:gridCol w:w="411"/>
        <w:gridCol w:w="12"/>
        <w:gridCol w:w="1429"/>
        <w:gridCol w:w="416"/>
        <w:gridCol w:w="2708"/>
      </w:tblGrid>
      <w:tr w14:paraId="3A88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3845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建议项目名称</w:t>
            </w:r>
          </w:p>
          <w:p w14:paraId="549E450B">
            <w:pPr>
              <w:ind w:hanging="13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(中文)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440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CC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建议项目名称</w:t>
            </w:r>
          </w:p>
          <w:p w14:paraId="080B1FD4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(英文)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804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088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F7A6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/>
              </w:rPr>
              <w:t>制定或修订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F0AF">
            <w:pPr>
              <w:ind w:firstLine="180" w:firstLineChars="100"/>
              <w:rPr>
                <w:rFonts w:ascii="宋体" w:hAnsi="宋体"/>
                <w:color w:val="00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制定</w:t>
            </w: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修订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C792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rPr>
                <w:rFonts w:hint="eastAsia"/>
              </w:rPr>
              <w:t>被修订学会</w:t>
            </w:r>
          </w:p>
          <w:p w14:paraId="7287509A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/>
              </w:rPr>
              <w:t>标准编号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29EB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23E7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AA87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rPr>
                <w:rFonts w:hint="eastAsia"/>
              </w:rPr>
              <w:t>采标程度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FD64">
            <w:pPr>
              <w:ind w:firstLine="180" w:firstLineChars="10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IDT   </w:t>
            </w: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MOD   </w:t>
            </w: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NEQ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C0F7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rPr>
                <w:rFonts w:hint="eastAsia"/>
              </w:rPr>
              <w:t>采标号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59DA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29C3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51A6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国际标准名称(中文)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7435">
            <w:pPr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E61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国际标准名称(英文)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386A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3862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019D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计划起止时间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99DE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</w:p>
          <w:p w14:paraId="49C503D8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193D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F3AE8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牵头单位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5AAA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单位名称：</w:t>
            </w:r>
            <w:r>
              <w:rPr>
                <w:rFonts w:ascii="宋体" w:hAnsi="宋体"/>
                <w:color w:val="000000"/>
                <w:sz w:val="18"/>
              </w:rPr>
              <w:t xml:space="preserve"> </w:t>
            </w:r>
          </w:p>
        </w:tc>
      </w:tr>
      <w:tr w14:paraId="14CE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F5A2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8B63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项目负责人：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5C20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联系电话：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D591">
            <w:pPr>
              <w:jc w:val="lef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电子邮箱：</w:t>
            </w:r>
          </w:p>
        </w:tc>
      </w:tr>
      <w:tr w14:paraId="7783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D650">
            <w:pPr>
              <w:pStyle w:val="21"/>
              <w:tabs>
                <w:tab w:val="left" w:pos="420"/>
                <w:tab w:val="clear" w:pos="0"/>
              </w:tabs>
              <w:autoSpaceDE/>
              <w:adjustRightInd/>
              <w:snapToGrid/>
              <w:rPr>
                <w:rFonts w:ascii="宋体" w:hAnsi="宋体"/>
                <w:color w:val="000000"/>
                <w:kern w:val="2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Cs w:val="24"/>
              </w:rPr>
              <w:t>参加单位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CE8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0DEC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85F0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目的、意义</w:t>
            </w:r>
          </w:p>
          <w:p w14:paraId="5014C839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或必要性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8F5B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指出该项目涉及的方面；</w:t>
            </w:r>
          </w:p>
          <w:p w14:paraId="7928B44A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期望本项目解决的问题；</w:t>
            </w:r>
          </w:p>
          <w:p w14:paraId="19A40DC6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对促进行业发展的预期效果；</w:t>
            </w:r>
          </w:p>
        </w:tc>
      </w:tr>
      <w:tr w14:paraId="4B50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AC35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范围和主要</w:t>
            </w:r>
          </w:p>
          <w:p w14:paraId="16E6C89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技术内容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14FE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标准的技术内容与适用范围；</w:t>
            </w:r>
          </w:p>
          <w:p w14:paraId="10A550BA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 xml:space="preserve">须列明标准的各章节大纲； </w:t>
            </w:r>
          </w:p>
          <w:p w14:paraId="6BA16DF9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如申请快速程序，须另外提供规范的团体标准草案及编制说明。</w:t>
            </w:r>
          </w:p>
        </w:tc>
      </w:tr>
      <w:tr w14:paraId="1742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3F79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国内外情况</w:t>
            </w:r>
          </w:p>
          <w:p w14:paraId="55F7C52F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的说明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50EA"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国内外对该技术研究情况简要说明</w:t>
            </w:r>
            <w:r>
              <w:rPr>
                <w:rFonts w:hint="eastAsia" w:ascii="宋体" w:hAnsi="宋体"/>
                <w:color w:val="000000"/>
                <w:sz w:val="18"/>
              </w:rPr>
              <w:t>：国内外对该技术研究的情况、进程及未来的发展；该技术是否相对稳定，如果不是的话，预计一下技术未来稳定的时间，提出的项目是否可作为未来技术发展的基础；</w:t>
            </w:r>
          </w:p>
          <w:p w14:paraId="2E45D4E0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项目对应国际标准或国外先进标准的情况：</w:t>
            </w:r>
            <w:r>
              <w:rPr>
                <w:rFonts w:hint="eastAsia" w:ascii="宋体" w:hAnsi="宋体"/>
                <w:color w:val="000000"/>
                <w:sz w:val="18"/>
              </w:rPr>
              <w:t>该项目是否有对应的国际标准或国外先进标准，如何考虑采用的问题；</w:t>
            </w:r>
          </w:p>
          <w:p w14:paraId="5431CF0D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与国内相关标准间的关系：</w:t>
            </w:r>
            <w:r>
              <w:rPr>
                <w:rFonts w:hint="eastAsia" w:ascii="宋体" w:hAnsi="宋体"/>
                <w:color w:val="000000"/>
                <w:sz w:val="18"/>
              </w:rPr>
              <w:t>该项目涉及的技术领域是否有相关的国家或行业标准，说明相关的标准现状、数量、标准名称及编号,该项目与这些标准是什么关系，该项目在标准体系中的位置；</w:t>
            </w:r>
          </w:p>
          <w:p w14:paraId="736CDC86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指出是否发现有知识产权的问题</w:t>
            </w:r>
            <w:r>
              <w:rPr>
                <w:rFonts w:hint="eastAsia" w:ascii="宋体" w:hAnsi="宋体"/>
                <w:color w:val="000000"/>
                <w:sz w:val="18"/>
              </w:rPr>
              <w:t>。</w:t>
            </w:r>
          </w:p>
        </w:tc>
      </w:tr>
      <w:tr w14:paraId="2CDA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D957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标准编制</w:t>
            </w:r>
          </w:p>
          <w:p w14:paraId="5C11F009">
            <w:pPr>
              <w:jc w:val="center"/>
              <w:rPr>
                <w:rFonts w:ascii="宋体" w:hAnsi="宋体"/>
                <w:color w:val="000000"/>
                <w:sz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计划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0307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标准编制主要单位的专业背景（主要工作职责、业绩等）；</w:t>
            </w:r>
          </w:p>
          <w:p w14:paraId="7C87331C">
            <w:pPr>
              <w:rPr>
                <w:rFonts w:ascii="宋体" w:hAnsi="宋体"/>
                <w:color w:val="000000"/>
                <w:sz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标准主要起草人专业背景（专业特长、业务技术成果等）；</w:t>
            </w:r>
          </w:p>
          <w:p w14:paraId="2DB8AB33">
            <w:pPr>
              <w:rPr>
                <w:rFonts w:ascii="宋体" w:hAnsi="宋体"/>
                <w:color w:val="000000"/>
                <w:sz w:val="18"/>
                <w:highlight w:val="yellow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u w:val="single"/>
              </w:rPr>
              <w:t>标准编制进度总体安排（工作分工、关键节点、阶段目标）；</w:t>
            </w:r>
          </w:p>
        </w:tc>
      </w:tr>
      <w:tr w14:paraId="709A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2E5E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附议单位</w:t>
            </w:r>
          </w:p>
          <w:p w14:paraId="1CA8387E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（3个以上）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525F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单位名称、联系人、联系方式，后附附议文件。</w:t>
            </w:r>
          </w:p>
        </w:tc>
      </w:tr>
      <w:tr w14:paraId="2F0B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D1C4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牵头单位</w:t>
            </w:r>
          </w:p>
          <w:p w14:paraId="1888B3B7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0FDE">
            <w:pPr>
              <w:spacing w:line="240" w:lineRule="exac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（签字、盖公章）</w:t>
            </w:r>
          </w:p>
          <w:p w14:paraId="18B4E184">
            <w:pPr>
              <w:spacing w:line="240" w:lineRule="exact"/>
              <w:ind w:firstLine="6120" w:firstLineChars="340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    月    日</w:t>
            </w:r>
          </w:p>
        </w:tc>
      </w:tr>
      <w:tr w14:paraId="75D6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4259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专家评审组意见：</w:t>
            </w:r>
          </w:p>
          <w:p w14:paraId="34A87539">
            <w:pPr>
              <w:rPr>
                <w:rFonts w:ascii="宋体" w:hAnsi="宋体"/>
                <w:color w:val="000000"/>
                <w:sz w:val="18"/>
              </w:rPr>
            </w:pPr>
          </w:p>
          <w:p w14:paraId="18341AAB">
            <w:pPr>
              <w:rPr>
                <w:rFonts w:ascii="宋体" w:hAnsi="宋体"/>
                <w:color w:val="000000"/>
                <w:sz w:val="18"/>
              </w:rPr>
            </w:pPr>
          </w:p>
          <w:p w14:paraId="169BEA45">
            <w:pPr>
              <w:rPr>
                <w:rFonts w:ascii="宋体" w:hAnsi="宋体"/>
                <w:color w:val="000000"/>
                <w:sz w:val="18"/>
              </w:rPr>
            </w:pPr>
          </w:p>
          <w:p w14:paraId="646FDC0C">
            <w:pPr>
              <w:rPr>
                <w:rFonts w:ascii="宋体" w:hAnsi="宋体"/>
                <w:color w:val="000000"/>
                <w:sz w:val="18"/>
              </w:rPr>
            </w:pPr>
          </w:p>
          <w:p w14:paraId="49CFAE7E">
            <w:pPr>
              <w:jc w:val="righ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    月    日</w:t>
            </w:r>
          </w:p>
        </w:tc>
        <w:tc>
          <w:tcPr>
            <w:tcW w:w="4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366D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四川省通信学会意见：</w:t>
            </w:r>
          </w:p>
          <w:p w14:paraId="2A5DF808">
            <w:pPr>
              <w:rPr>
                <w:rFonts w:ascii="宋体" w:hAnsi="宋体"/>
                <w:color w:val="000000"/>
                <w:sz w:val="18"/>
              </w:rPr>
            </w:pPr>
          </w:p>
          <w:p w14:paraId="5CD08E84">
            <w:pPr>
              <w:rPr>
                <w:rFonts w:ascii="宋体" w:hAnsi="宋体"/>
                <w:color w:val="000000"/>
                <w:sz w:val="18"/>
              </w:rPr>
            </w:pPr>
          </w:p>
          <w:p w14:paraId="0DE98B32">
            <w:pPr>
              <w:rPr>
                <w:rFonts w:ascii="宋体" w:hAnsi="宋体"/>
                <w:color w:val="000000"/>
                <w:sz w:val="18"/>
              </w:rPr>
            </w:pPr>
          </w:p>
          <w:p w14:paraId="12BC1FAC">
            <w:pPr>
              <w:ind w:right="270"/>
              <w:jc w:val="righ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（公章）</w:t>
            </w:r>
          </w:p>
          <w:p w14:paraId="54B87AFA">
            <w:pPr>
              <w:jc w:val="righ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   月   日</w:t>
            </w:r>
          </w:p>
        </w:tc>
      </w:tr>
    </w:tbl>
    <w:p w14:paraId="7B53BFC8"/>
    <w:p w14:paraId="104996D1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注1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选择采用国际标准，须填写采标号及采标程度等信息；</w:t>
      </w:r>
    </w:p>
    <w:p w14:paraId="0B895C1C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注2</w:t>
      </w:r>
      <w:r>
        <w:rPr>
          <w:sz w:val="18"/>
          <w:szCs w:val="18"/>
        </w:rPr>
        <w:t>] IDT</w:t>
      </w:r>
      <w:r>
        <w:rPr>
          <w:rFonts w:hint="eastAsia"/>
          <w:sz w:val="18"/>
          <w:szCs w:val="18"/>
        </w:rPr>
        <w:t>：等同采用；</w:t>
      </w:r>
      <w:r>
        <w:rPr>
          <w:sz w:val="18"/>
          <w:szCs w:val="18"/>
        </w:rPr>
        <w:t>MOD</w:t>
      </w:r>
      <w:r>
        <w:rPr>
          <w:rFonts w:hint="eastAsia"/>
          <w:sz w:val="18"/>
          <w:szCs w:val="18"/>
        </w:rPr>
        <w:t>：修改采用；</w:t>
      </w:r>
      <w:r>
        <w:rPr>
          <w:sz w:val="18"/>
          <w:szCs w:val="18"/>
        </w:rPr>
        <w:t>NEQ</w:t>
      </w:r>
      <w:r>
        <w:rPr>
          <w:rFonts w:hint="eastAsia"/>
          <w:sz w:val="18"/>
          <w:szCs w:val="18"/>
        </w:rPr>
        <w:t>：非等效采用。</w:t>
      </w:r>
    </w:p>
    <w:p w14:paraId="0E6C7B53">
      <w:pPr>
        <w:spacing w:line="240" w:lineRule="exact"/>
        <w:rPr>
          <w:sz w:val="18"/>
          <w:szCs w:val="18"/>
        </w:rPr>
      </w:pPr>
    </w:p>
    <w:p w14:paraId="3F0FBB26"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531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54586E"/>
    <w:multiLevelType w:val="multilevel"/>
    <w:tmpl w:val="3354586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AC"/>
    <w:rsid w:val="0001036F"/>
    <w:rsid w:val="0001580F"/>
    <w:rsid w:val="00021BAF"/>
    <w:rsid w:val="0003611F"/>
    <w:rsid w:val="000404AC"/>
    <w:rsid w:val="000422B3"/>
    <w:rsid w:val="000449F7"/>
    <w:rsid w:val="00047CEF"/>
    <w:rsid w:val="00055793"/>
    <w:rsid w:val="000671F6"/>
    <w:rsid w:val="00086993"/>
    <w:rsid w:val="0009616C"/>
    <w:rsid w:val="000A32E0"/>
    <w:rsid w:val="000A6153"/>
    <w:rsid w:val="000C6527"/>
    <w:rsid w:val="000C7FC3"/>
    <w:rsid w:val="000E1102"/>
    <w:rsid w:val="000F4CC1"/>
    <w:rsid w:val="00103870"/>
    <w:rsid w:val="001120A1"/>
    <w:rsid w:val="001141CC"/>
    <w:rsid w:val="00125392"/>
    <w:rsid w:val="0013157E"/>
    <w:rsid w:val="00141073"/>
    <w:rsid w:val="00154EA9"/>
    <w:rsid w:val="001601ED"/>
    <w:rsid w:val="00162E04"/>
    <w:rsid w:val="001735C5"/>
    <w:rsid w:val="0017375A"/>
    <w:rsid w:val="001837A9"/>
    <w:rsid w:val="00187DE6"/>
    <w:rsid w:val="00192DBB"/>
    <w:rsid w:val="0019337F"/>
    <w:rsid w:val="00194D8B"/>
    <w:rsid w:val="001A24B6"/>
    <w:rsid w:val="001A7E90"/>
    <w:rsid w:val="001D28AB"/>
    <w:rsid w:val="001F1714"/>
    <w:rsid w:val="001F18C9"/>
    <w:rsid w:val="001F46C9"/>
    <w:rsid w:val="00202670"/>
    <w:rsid w:val="002217C3"/>
    <w:rsid w:val="00224A9A"/>
    <w:rsid w:val="00251009"/>
    <w:rsid w:val="00283287"/>
    <w:rsid w:val="00285EF2"/>
    <w:rsid w:val="00292417"/>
    <w:rsid w:val="002959D8"/>
    <w:rsid w:val="002A4387"/>
    <w:rsid w:val="002F392F"/>
    <w:rsid w:val="002F46FF"/>
    <w:rsid w:val="00313D66"/>
    <w:rsid w:val="00342519"/>
    <w:rsid w:val="003444BF"/>
    <w:rsid w:val="00356C90"/>
    <w:rsid w:val="0035793D"/>
    <w:rsid w:val="00375C29"/>
    <w:rsid w:val="00381C50"/>
    <w:rsid w:val="003822FB"/>
    <w:rsid w:val="00391B9B"/>
    <w:rsid w:val="00392EEA"/>
    <w:rsid w:val="0039420B"/>
    <w:rsid w:val="003A1060"/>
    <w:rsid w:val="003A228C"/>
    <w:rsid w:val="003A5AEF"/>
    <w:rsid w:val="003B2260"/>
    <w:rsid w:val="003B73FE"/>
    <w:rsid w:val="003D5DA4"/>
    <w:rsid w:val="003E0A79"/>
    <w:rsid w:val="003F19A7"/>
    <w:rsid w:val="003F2C2F"/>
    <w:rsid w:val="004104B9"/>
    <w:rsid w:val="004116D2"/>
    <w:rsid w:val="00411E85"/>
    <w:rsid w:val="00412FB1"/>
    <w:rsid w:val="004226BD"/>
    <w:rsid w:val="0044252D"/>
    <w:rsid w:val="00453093"/>
    <w:rsid w:val="00465FD8"/>
    <w:rsid w:val="00480FC0"/>
    <w:rsid w:val="004A218E"/>
    <w:rsid w:val="004A7D0E"/>
    <w:rsid w:val="004B2423"/>
    <w:rsid w:val="004C5B89"/>
    <w:rsid w:val="004E2E7D"/>
    <w:rsid w:val="004F32BB"/>
    <w:rsid w:val="0050085F"/>
    <w:rsid w:val="00524EA2"/>
    <w:rsid w:val="00527479"/>
    <w:rsid w:val="00537F06"/>
    <w:rsid w:val="00547B62"/>
    <w:rsid w:val="00556D6E"/>
    <w:rsid w:val="0055733D"/>
    <w:rsid w:val="00567806"/>
    <w:rsid w:val="00567D06"/>
    <w:rsid w:val="00572025"/>
    <w:rsid w:val="005839A1"/>
    <w:rsid w:val="00591E03"/>
    <w:rsid w:val="0059410C"/>
    <w:rsid w:val="005A32D8"/>
    <w:rsid w:val="005B04A8"/>
    <w:rsid w:val="005B3329"/>
    <w:rsid w:val="005D72A7"/>
    <w:rsid w:val="005D7D63"/>
    <w:rsid w:val="005E2A10"/>
    <w:rsid w:val="005F652C"/>
    <w:rsid w:val="006009D0"/>
    <w:rsid w:val="006011EB"/>
    <w:rsid w:val="00613014"/>
    <w:rsid w:val="00614DE5"/>
    <w:rsid w:val="006153D3"/>
    <w:rsid w:val="006201E5"/>
    <w:rsid w:val="00627ED7"/>
    <w:rsid w:val="00634B17"/>
    <w:rsid w:val="00644C27"/>
    <w:rsid w:val="006512C3"/>
    <w:rsid w:val="006638BF"/>
    <w:rsid w:val="00671F3D"/>
    <w:rsid w:val="00686003"/>
    <w:rsid w:val="006878C8"/>
    <w:rsid w:val="00696B84"/>
    <w:rsid w:val="006A1001"/>
    <w:rsid w:val="006B683C"/>
    <w:rsid w:val="006C4C97"/>
    <w:rsid w:val="006D56F7"/>
    <w:rsid w:val="006D67D7"/>
    <w:rsid w:val="006E162E"/>
    <w:rsid w:val="006E31CD"/>
    <w:rsid w:val="006E5265"/>
    <w:rsid w:val="006F4E27"/>
    <w:rsid w:val="00702CCD"/>
    <w:rsid w:val="00703275"/>
    <w:rsid w:val="00720027"/>
    <w:rsid w:val="007235A5"/>
    <w:rsid w:val="00723984"/>
    <w:rsid w:val="00726BDA"/>
    <w:rsid w:val="00733FCE"/>
    <w:rsid w:val="007377E7"/>
    <w:rsid w:val="00743E19"/>
    <w:rsid w:val="00744900"/>
    <w:rsid w:val="007546AC"/>
    <w:rsid w:val="00757425"/>
    <w:rsid w:val="007633AC"/>
    <w:rsid w:val="0076422A"/>
    <w:rsid w:val="00767F14"/>
    <w:rsid w:val="007857F8"/>
    <w:rsid w:val="00786DD6"/>
    <w:rsid w:val="00786EB6"/>
    <w:rsid w:val="0079540C"/>
    <w:rsid w:val="007A060C"/>
    <w:rsid w:val="007A2355"/>
    <w:rsid w:val="007A2416"/>
    <w:rsid w:val="007C0712"/>
    <w:rsid w:val="007D116D"/>
    <w:rsid w:val="007D1E83"/>
    <w:rsid w:val="007D2967"/>
    <w:rsid w:val="007D5475"/>
    <w:rsid w:val="007E0652"/>
    <w:rsid w:val="007E3E92"/>
    <w:rsid w:val="007E7547"/>
    <w:rsid w:val="00803BC6"/>
    <w:rsid w:val="00843566"/>
    <w:rsid w:val="00844B48"/>
    <w:rsid w:val="0085163C"/>
    <w:rsid w:val="00861C3C"/>
    <w:rsid w:val="008649B0"/>
    <w:rsid w:val="00864BDF"/>
    <w:rsid w:val="00864DFE"/>
    <w:rsid w:val="00865FD3"/>
    <w:rsid w:val="00880A1F"/>
    <w:rsid w:val="00893FB2"/>
    <w:rsid w:val="008955B9"/>
    <w:rsid w:val="008B73B6"/>
    <w:rsid w:val="008D14FE"/>
    <w:rsid w:val="00914C8E"/>
    <w:rsid w:val="009162C8"/>
    <w:rsid w:val="00916B07"/>
    <w:rsid w:val="00930EFC"/>
    <w:rsid w:val="009332B7"/>
    <w:rsid w:val="009356A8"/>
    <w:rsid w:val="00940297"/>
    <w:rsid w:val="00956C99"/>
    <w:rsid w:val="00972235"/>
    <w:rsid w:val="009736E3"/>
    <w:rsid w:val="00975C5F"/>
    <w:rsid w:val="009861F9"/>
    <w:rsid w:val="00986232"/>
    <w:rsid w:val="009A4C6C"/>
    <w:rsid w:val="009B2E70"/>
    <w:rsid w:val="009B6B36"/>
    <w:rsid w:val="009E1985"/>
    <w:rsid w:val="009E266A"/>
    <w:rsid w:val="009F543A"/>
    <w:rsid w:val="00A00E18"/>
    <w:rsid w:val="00A30491"/>
    <w:rsid w:val="00A361BA"/>
    <w:rsid w:val="00A54050"/>
    <w:rsid w:val="00A615FB"/>
    <w:rsid w:val="00A73AE7"/>
    <w:rsid w:val="00A8262F"/>
    <w:rsid w:val="00A848BA"/>
    <w:rsid w:val="00AA300D"/>
    <w:rsid w:val="00AB7D75"/>
    <w:rsid w:val="00AC0253"/>
    <w:rsid w:val="00AE5539"/>
    <w:rsid w:val="00AF2719"/>
    <w:rsid w:val="00AF41AF"/>
    <w:rsid w:val="00B03A8E"/>
    <w:rsid w:val="00B11E6D"/>
    <w:rsid w:val="00B14403"/>
    <w:rsid w:val="00B1514D"/>
    <w:rsid w:val="00B26FD6"/>
    <w:rsid w:val="00B3160B"/>
    <w:rsid w:val="00B37C7F"/>
    <w:rsid w:val="00B41536"/>
    <w:rsid w:val="00B42ABB"/>
    <w:rsid w:val="00B43246"/>
    <w:rsid w:val="00B47CAD"/>
    <w:rsid w:val="00B55DC8"/>
    <w:rsid w:val="00B56351"/>
    <w:rsid w:val="00B60AF2"/>
    <w:rsid w:val="00B72197"/>
    <w:rsid w:val="00B75782"/>
    <w:rsid w:val="00B87CB8"/>
    <w:rsid w:val="00B90388"/>
    <w:rsid w:val="00B921BC"/>
    <w:rsid w:val="00B9223A"/>
    <w:rsid w:val="00BC55A7"/>
    <w:rsid w:val="00BC65A9"/>
    <w:rsid w:val="00BD19CC"/>
    <w:rsid w:val="00BD305A"/>
    <w:rsid w:val="00BD638A"/>
    <w:rsid w:val="00BE1D73"/>
    <w:rsid w:val="00BE5E23"/>
    <w:rsid w:val="00BF283D"/>
    <w:rsid w:val="00C102C7"/>
    <w:rsid w:val="00C104A9"/>
    <w:rsid w:val="00C34672"/>
    <w:rsid w:val="00C42219"/>
    <w:rsid w:val="00C4618F"/>
    <w:rsid w:val="00C50CBC"/>
    <w:rsid w:val="00C615BC"/>
    <w:rsid w:val="00C62EE3"/>
    <w:rsid w:val="00C70FEF"/>
    <w:rsid w:val="00C73C30"/>
    <w:rsid w:val="00C76805"/>
    <w:rsid w:val="00CC0C1B"/>
    <w:rsid w:val="00CC3617"/>
    <w:rsid w:val="00CD0633"/>
    <w:rsid w:val="00CD2AF5"/>
    <w:rsid w:val="00CD7DC7"/>
    <w:rsid w:val="00CF23F6"/>
    <w:rsid w:val="00CF29CD"/>
    <w:rsid w:val="00CF2BC1"/>
    <w:rsid w:val="00CF32F6"/>
    <w:rsid w:val="00D25697"/>
    <w:rsid w:val="00D26F2E"/>
    <w:rsid w:val="00D37E6D"/>
    <w:rsid w:val="00D45FC7"/>
    <w:rsid w:val="00D502AA"/>
    <w:rsid w:val="00D57387"/>
    <w:rsid w:val="00D64C90"/>
    <w:rsid w:val="00D6528A"/>
    <w:rsid w:val="00D65435"/>
    <w:rsid w:val="00D66606"/>
    <w:rsid w:val="00D7274E"/>
    <w:rsid w:val="00D76345"/>
    <w:rsid w:val="00D77AE2"/>
    <w:rsid w:val="00D827B1"/>
    <w:rsid w:val="00D83ABF"/>
    <w:rsid w:val="00D85B32"/>
    <w:rsid w:val="00D91276"/>
    <w:rsid w:val="00D9473F"/>
    <w:rsid w:val="00D9561F"/>
    <w:rsid w:val="00DA3EB7"/>
    <w:rsid w:val="00DC42D3"/>
    <w:rsid w:val="00DC658E"/>
    <w:rsid w:val="00DD0643"/>
    <w:rsid w:val="00DD4463"/>
    <w:rsid w:val="00DE0408"/>
    <w:rsid w:val="00DE1704"/>
    <w:rsid w:val="00DF6A2A"/>
    <w:rsid w:val="00DF7250"/>
    <w:rsid w:val="00E00770"/>
    <w:rsid w:val="00E04DD7"/>
    <w:rsid w:val="00E05956"/>
    <w:rsid w:val="00E07E74"/>
    <w:rsid w:val="00E114C1"/>
    <w:rsid w:val="00E25BAB"/>
    <w:rsid w:val="00E33A66"/>
    <w:rsid w:val="00E348A4"/>
    <w:rsid w:val="00E351DB"/>
    <w:rsid w:val="00E37D5B"/>
    <w:rsid w:val="00E41841"/>
    <w:rsid w:val="00E51D89"/>
    <w:rsid w:val="00E5570E"/>
    <w:rsid w:val="00E720D4"/>
    <w:rsid w:val="00E74C35"/>
    <w:rsid w:val="00E80901"/>
    <w:rsid w:val="00EB3FDF"/>
    <w:rsid w:val="00EC046A"/>
    <w:rsid w:val="00EC25A6"/>
    <w:rsid w:val="00EE75EF"/>
    <w:rsid w:val="00EF1BC9"/>
    <w:rsid w:val="00F031A3"/>
    <w:rsid w:val="00F12E64"/>
    <w:rsid w:val="00F27B85"/>
    <w:rsid w:val="00F367B0"/>
    <w:rsid w:val="00F40192"/>
    <w:rsid w:val="00F504F4"/>
    <w:rsid w:val="00F56CB4"/>
    <w:rsid w:val="00F61731"/>
    <w:rsid w:val="00F66E8E"/>
    <w:rsid w:val="00F70AED"/>
    <w:rsid w:val="00F710AD"/>
    <w:rsid w:val="00F71AE2"/>
    <w:rsid w:val="00F7785F"/>
    <w:rsid w:val="00F91854"/>
    <w:rsid w:val="00FD7309"/>
    <w:rsid w:val="00FF2045"/>
    <w:rsid w:val="01BC13D9"/>
    <w:rsid w:val="09B66792"/>
    <w:rsid w:val="0F871068"/>
    <w:rsid w:val="112C33E6"/>
    <w:rsid w:val="1B475A2E"/>
    <w:rsid w:val="1DFA777E"/>
    <w:rsid w:val="1EB40B45"/>
    <w:rsid w:val="218523AD"/>
    <w:rsid w:val="2EEE398B"/>
    <w:rsid w:val="3AC60342"/>
    <w:rsid w:val="3BC2228D"/>
    <w:rsid w:val="40593400"/>
    <w:rsid w:val="49AD3E4B"/>
    <w:rsid w:val="50A076CD"/>
    <w:rsid w:val="574940E7"/>
    <w:rsid w:val="61AB5DAD"/>
    <w:rsid w:val="68182E40"/>
    <w:rsid w:val="6EE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4">
    <w:name w:val="paper title"/>
    <w:qFormat/>
    <w:uiPriority w:val="0"/>
    <w:pPr>
      <w:spacing w:after="120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  <w:style w:type="character" w:customStyle="1" w:styleId="15">
    <w:name w:val="标题 1 Char"/>
    <w:basedOn w:val="9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</w:rPr>
  </w:style>
  <w:style w:type="character" w:customStyle="1" w:styleId="16">
    <w:name w:val="页眉 Char"/>
    <w:basedOn w:val="9"/>
    <w:link w:val="7"/>
    <w:qFormat/>
    <w:uiPriority w:val="0"/>
    <w:rPr>
      <w:sz w:val="18"/>
      <w:szCs w:val="18"/>
    </w:rPr>
  </w:style>
  <w:style w:type="character" w:customStyle="1" w:styleId="17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9"/>
    <w:link w:val="4"/>
    <w:semiHidden/>
    <w:qFormat/>
    <w:uiPriority w:val="99"/>
  </w:style>
  <w:style w:type="table" w:customStyle="1" w:styleId="2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表格文本"/>
    <w:basedOn w:val="1"/>
    <w:qFormat/>
    <w:uiPriority w:val="0"/>
    <w:pPr>
      <w:tabs>
        <w:tab w:val="decimal" w:pos="0"/>
      </w:tabs>
      <w:autoSpaceDE w:val="0"/>
      <w:autoSpaceDN w:val="0"/>
      <w:adjustRightInd w:val="0"/>
      <w:snapToGrid w:val="0"/>
      <w:jc w:val="center"/>
    </w:pPr>
    <w:rPr>
      <w:rFonts w:ascii="Arial" w:hAnsi="Arial" w:eastAsia="宋体" w:cs="Times New Roman"/>
      <w:kern w:val="0"/>
      <w:sz w:val="18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24">
    <w:name w:val="段 Char"/>
    <w:link w:val="25"/>
    <w:qFormat/>
    <w:uiPriority w:val="0"/>
    <w:rPr>
      <w:rFonts w:ascii="宋体"/>
    </w:rPr>
  </w:style>
  <w:style w:type="paragraph" w:customStyle="1" w:styleId="25">
    <w:name w:val="段"/>
    <w:link w:val="2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27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28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29">
    <w:name w:val="封面标准英文名称"/>
    <w:basedOn w:val="30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3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32">
    <w:name w:val="封面标准文稿编辑信息"/>
    <w:basedOn w:val="1"/>
    <w:qFormat/>
    <w:uiPriority w:val="0"/>
    <w:pPr>
      <w:framePr w:w="9639" w:h="6917" w:hRule="exact" w:wrap="around" w:vAnchor="page" w:hAnchor="page" w:xAlign="center" w:y="6408" w:anchorLock="1"/>
      <w:spacing w:before="180" w:after="160" w:line="180" w:lineRule="exact"/>
      <w:jc w:val="center"/>
      <w:textAlignment w:val="center"/>
    </w:pPr>
    <w:rPr>
      <w:rFonts w:ascii="宋体" w:hAnsi="Times New Roman" w:eastAsia="宋体" w:cs="Times New Roman"/>
      <w:kern w:val="0"/>
      <w:szCs w:val="28"/>
    </w:rPr>
  </w:style>
  <w:style w:type="paragraph" w:customStyle="1" w:styleId="33">
    <w:name w:val="其他发布部门"/>
    <w:basedOn w:val="1"/>
    <w:qFormat/>
    <w:uiPriority w:val="99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28"/>
      <w:szCs w:val="20"/>
    </w:rPr>
  </w:style>
  <w:style w:type="paragraph" w:customStyle="1" w:styleId="34">
    <w:name w:val="文献分类号"/>
    <w:qFormat/>
    <w:uiPriority w:val="99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5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3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37">
    <w:name w:val="Heading #3|1"/>
    <w:basedOn w:val="1"/>
    <w:qFormat/>
    <w:uiPriority w:val="0"/>
    <w:pPr>
      <w:spacing w:before="440" w:after="280"/>
      <w:jc w:val="center"/>
      <w:outlineLvl w:val="2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703</Characters>
  <Lines>16</Lines>
  <Paragraphs>4</Paragraphs>
  <TotalTime>151</TotalTime>
  <ScaleCrop>false</ScaleCrop>
  <LinksUpToDate>false</LinksUpToDate>
  <CharactersWithSpaces>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2019-07-24T07:16:00Z</dcterms:created>
  <dc:creator>lenovo</dc:creator>
  <cp:lastModifiedBy>四川省通信学会</cp:lastModifiedBy>
  <cp:lastPrinted>2020-07-06T06:27:00Z</cp:lastPrinted>
  <dcterms:modified xsi:type="dcterms:W3CDTF">2026-01-27T03:01:01Z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eyJoZGlkIjoiZWQ3ZDM2YzNmYjA1ZjliMjg0NWViN2FiZmVjZDhjYjUiLCJ1c2VySWQiOiIxNjIyMTI2MDEwIn0=</vt:lpwstr>
  </property>
  <property fmtid="{D5CDD505-2E9C-101B-9397-08002B2CF9AE}" pid="4" name="ICV">
    <vt:lpwstr>BD00B8855C4740A0BF6B9F41D5B878A1_13</vt:lpwstr>
  </property>
</Properties>
</file>